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after="160"/>
        <w:jc w:val="center"/>
      </w:pPr>
      <w:r>
        <w:rPr>
          <w:rFonts w:ascii="Aptos Display" w:hAnsi="Aptos Display"/>
          <w:b/>
          <w:color w:val="000000"/>
          <w:sz w:val="54"/>
        </w:rPr>
        <w:t>Module 33 5 Monoliths of Madness Guide</w:t>
      </w:r>
    </w:p>
    <w:p>
      <w:pPr>
        <w:spacing w:after="320"/>
        <w:jc w:val="center"/>
      </w:pPr>
      <w:r>
        <w:rPr>
          <w:rFonts w:ascii="Aptos" w:hAnsi="Aptos"/>
          <w:color w:val="2F2235"/>
          <w:sz w:val="22"/>
        </w:rPr>
        <w:t>Neverwinter player guide | Released September 1 2026 | Level 20 and above</w:t>
      </w:r>
    </w:p>
    <w:p>
      <w:pPr>
        <w:spacing w:after="160" w:line="278" w:lineRule="auto"/>
      </w:pPr>
      <w:r>
        <w:rPr>
          <w:rFonts w:ascii="Aptos" w:hAnsi="Aptos"/>
          <w:color w:val="000000"/>
          <w:sz w:val="23"/>
        </w:rPr>
        <w:t>Monoliths of Madness is a 12-week event that rotates through Menzoberranzan, Northdark Reaches, Narbondellyn, and Dragonbone Vale. Start the campaign in Protector's Enclave, follow the active-zone marker, and complete daily and weekly objectives to earn Shards of Madness. Your progress unlocks individual milestones and contributes to a server-wide reward track.</w:t>
      </w:r>
    </w:p>
    <w:p>
      <w:pPr>
        <w:pStyle w:val="Heading1"/>
        <w:keepNext/>
        <w:spacing w:before="280" w:after="120"/>
      </w:pPr>
      <w:r>
        <w:rPr>
          <w:rFonts w:ascii="Aptos" w:hAnsi="Aptos"/>
          <w:b/>
          <w:color w:val="000000"/>
          <w:sz w:val="34"/>
        </w:rPr>
        <w:t>Quick Start</w:t>
      </w:r>
    </w:p>
    <w:p>
      <w:pPr>
        <w:pStyle w:val="ListNumber"/>
        <w:spacing w:after="100" w:line="269" w:lineRule="auto"/>
      </w:pPr>
      <w:r>
        <w:rPr>
          <w:rFonts w:ascii="Aptos" w:hAnsi="Aptos"/>
          <w:color w:val="000000"/>
          <w:sz w:val="23"/>
        </w:rPr>
        <w:t>Speak with Master Arcanist Viorel Amakiir in Protector's Enclave to begin the campaign.</w:t>
      </w:r>
    </w:p>
    <w:p>
      <w:pPr>
        <w:pStyle w:val="ListNumber"/>
        <w:spacing w:after="100" w:line="269" w:lineRule="auto"/>
      </w:pPr>
      <w:r>
        <w:rPr>
          <w:rFonts w:ascii="Aptos" w:hAnsi="Aptos"/>
          <w:color w:val="000000"/>
          <w:sz w:val="23"/>
        </w:rPr>
        <w:t>Check which zone is active and confirm that character has completed the access quests for that zone.</w:t>
      </w:r>
    </w:p>
    <w:p>
      <w:pPr>
        <w:pStyle w:val="ListNumber"/>
        <w:spacing w:after="100" w:line="269" w:lineRule="auto"/>
      </w:pPr>
      <w:r>
        <w:rPr>
          <w:rFonts w:ascii="Aptos" w:hAnsi="Aptos"/>
          <w:color w:val="000000"/>
          <w:sz w:val="23"/>
        </w:rPr>
        <w:t>Accept the daily and weekly challenges, then complete their listed objectives in the active zone.</w:t>
      </w:r>
    </w:p>
    <w:p>
      <w:pPr>
        <w:pStyle w:val="ListNumber"/>
        <w:spacing w:after="100" w:line="269" w:lineRule="auto"/>
      </w:pPr>
      <w:r>
        <w:rPr>
          <w:rFonts w:ascii="Aptos" w:hAnsi="Aptos"/>
          <w:color w:val="000000"/>
          <w:sz w:val="23"/>
        </w:rPr>
        <w:t>Collect three Lesser Abyssal Lures to activate the first corrupted altar. Its summoned enemy may drop Greater Abyssal Lures; collect three to activate the second altar.</w:t>
      </w:r>
    </w:p>
    <w:p>
      <w:pPr>
        <w:pStyle w:val="ListNumber"/>
        <w:spacing w:after="100" w:line="269" w:lineRule="auto"/>
      </w:pPr>
      <w:r>
        <w:rPr>
          <w:rFonts w:ascii="Aptos" w:hAnsi="Aptos"/>
          <w:color w:val="000000"/>
          <w:sz w:val="23"/>
        </w:rPr>
        <w:t>Earn at least 500 Shards of Madness to qualify for Nightmare Progression rewards, and help the server fill the global bar before the phase ends.</w:t>
      </w:r>
    </w:p>
    <w:p>
      <w:pPr>
        <w:pStyle w:val="Heading1"/>
        <w:keepNext/>
        <w:spacing w:before="280" w:after="120"/>
      </w:pPr>
      <w:r>
        <w:rPr>
          <w:rFonts w:ascii="Aptos" w:hAnsi="Aptos"/>
          <w:b/>
          <w:color w:val="000000"/>
          <w:sz w:val="34"/>
        </w:rPr>
        <w:t>Core Rule Follow the Active Zone</w:t>
      </w:r>
    </w:p>
    <w:p>
      <w:pPr>
        <w:spacing w:after="160" w:line="278" w:lineRule="auto"/>
      </w:pPr>
      <w:r>
        <w:rPr>
          <w:rFonts w:ascii="Aptos" w:hAnsi="Aptos"/>
          <w:color w:val="000000"/>
          <w:sz w:val="23"/>
        </w:rPr>
        <w:t>Only one of the four featured zones serves as the event's main stage each week, and players are downscaled while that zone is active. Follow the modified map icon instead of farming an inactive zone. If you still need the featured zone's original campaign, you can advance that campaign while completing Monoliths of Madness objectives.</w:t>
      </w:r>
    </w:p>
    <w:p>
      <w:pPr>
        <w:pStyle w:val="Heading1"/>
        <w:keepNext/>
        <w:pageBreakBefore/>
        <w:spacing w:before="280" w:after="120"/>
      </w:pPr>
      <w:r>
        <w:rPr>
          <w:rFonts w:ascii="Aptos" w:hAnsi="Aptos"/>
          <w:b/>
          <w:color w:val="000000"/>
          <w:sz w:val="34"/>
        </w:rPr>
        <w:t>Zone Access Requirements</w:t>
      </w:r>
    </w:p>
    <w:tbl>
      <w:tblPr>
        <w:tblW w:type="auto" w:w="0"/>
        <w:jc w:val="center"/>
        <w:tblLayout w:type="fixed"/>
        <w:tblLook w:firstColumn="1" w:firstRow="1" w:lastColumn="0" w:lastRow="0" w:noHBand="0" w:noVBand="1" w:val="04A0"/>
        <w:tblBorders>
          <w:top w:val="single" w:sz="8" w:space="0" w:color="D9D9D9"/>
          <w:left w:val="single" w:sz="8" w:space="0" w:color="D9D9D9"/>
          <w:bottom w:val="single" w:sz="8" w:space="0" w:color="D9D9D9"/>
          <w:right w:val="single" w:sz="8" w:space="0" w:color="D9D9D9"/>
          <w:insideH w:val="single" w:sz="8" w:space="0" w:color="D9D9D9"/>
          <w:insideV w:val="single" w:sz="8" w:space="0" w:color="D9D9D9"/>
        </w:tblBorders>
      </w:tblPr>
      <w:tblGrid>
        <w:gridCol w:w="3331"/>
        <w:gridCol w:w="3331"/>
        <w:gridCol w:w="3331"/>
      </w:tblGrid>
      <w:tr>
        <w:trPr>
          <w:cantSplit/>
          <w:tblHeader w:val="true"/>
        </w:trPr>
        <w:tc>
          <w:tcPr>
            <w:tcW w:type="dxa" w:w="2232"/>
            <w:vAlign w:val="center"/>
            <w:tcMar>
              <w:top w:w="120" w:type="dxa"/>
              <w:start w:w="120" w:type="dxa"/>
              <w:bottom w:w="120" w:type="dxa"/>
              <w:end w:w="120" w:type="dxa"/>
            </w:tcMar>
            <w:shd w:fill="2F2235"/>
          </w:tcPr>
          <w:p>
            <w:pPr>
              <w:spacing w:after="0" w:line="252" w:lineRule="auto"/>
              <w:jc w:val="center"/>
            </w:pPr>
            <w:r>
              <w:rPr>
                <w:rFonts w:ascii="Aptos" w:hAnsi="Aptos"/>
                <w:b/>
                <w:color w:val="FFFFFF"/>
                <w:sz w:val="21"/>
              </w:rPr>
              <w:t>Featured zone</w:t>
            </w:r>
          </w:p>
        </w:tc>
        <w:tc>
          <w:tcPr>
            <w:tcW w:type="dxa" w:w="4032"/>
            <w:vAlign w:val="center"/>
            <w:tcMar>
              <w:top w:w="120" w:type="dxa"/>
              <w:start w:w="120" w:type="dxa"/>
              <w:bottom w:w="120" w:type="dxa"/>
              <w:end w:w="120" w:type="dxa"/>
            </w:tcMar>
            <w:shd w:fill="2F2235"/>
          </w:tcPr>
          <w:p>
            <w:pPr>
              <w:spacing w:after="0" w:line="252" w:lineRule="auto"/>
              <w:jc w:val="center"/>
            </w:pPr>
            <w:r>
              <w:rPr>
                <w:rFonts w:ascii="Aptos" w:hAnsi="Aptos"/>
                <w:b/>
                <w:color w:val="FFFFFF"/>
                <w:sz w:val="21"/>
              </w:rPr>
              <w:t>Required access quests</w:t>
            </w:r>
          </w:p>
        </w:tc>
        <w:tc>
          <w:tcPr>
            <w:tcW w:type="dxa" w:w="3528"/>
            <w:vAlign w:val="center"/>
            <w:tcMar>
              <w:top w:w="120" w:type="dxa"/>
              <w:start w:w="120" w:type="dxa"/>
              <w:bottom w:w="120" w:type="dxa"/>
              <w:end w:w="120" w:type="dxa"/>
            </w:tcMar>
            <w:shd w:fill="2F2235"/>
          </w:tcPr>
          <w:p>
            <w:pPr>
              <w:spacing w:after="0" w:line="252" w:lineRule="auto"/>
              <w:jc w:val="center"/>
            </w:pPr>
            <w:r>
              <w:rPr>
                <w:rFonts w:ascii="Aptos" w:hAnsi="Aptos"/>
                <w:b/>
                <w:color w:val="FFFFFF"/>
                <w:sz w:val="21"/>
              </w:rPr>
              <w:t>Where to begin</w:t>
            </w:r>
          </w:p>
        </w:tc>
      </w:tr>
      <w:tr>
        <w:trPr>
          <w:cantSplit/>
        </w:trPr>
        <w:tc>
          <w:tcPr>
            <w:tcW w:type="dxa" w:w="2232"/>
            <w:vAlign w:val="center"/>
            <w:tcMar>
              <w:top w:w="120" w:type="dxa"/>
              <w:start w:w="120" w:type="dxa"/>
              <w:bottom w:w="120" w:type="dxa"/>
              <w:end w:w="120" w:type="dxa"/>
            </w:tcMar>
            <w:shd w:fill="FFFFFF"/>
          </w:tcPr>
          <w:p>
            <w:pPr>
              <w:spacing w:after="0" w:line="252" w:lineRule="auto"/>
              <w:jc w:val="left"/>
            </w:pPr>
            <w:r>
              <w:rPr>
                <w:rFonts w:ascii="Aptos" w:hAnsi="Aptos"/>
                <w:b w:val="0"/>
                <w:color w:val="000000"/>
                <w:sz w:val="21"/>
              </w:rPr>
              <w:t>Menzoberranzan</w:t>
            </w:r>
          </w:p>
        </w:tc>
        <w:tc>
          <w:tcPr>
            <w:tcW w:type="dxa" w:w="4032"/>
            <w:vAlign w:val="center"/>
            <w:tcMar>
              <w:top w:w="120" w:type="dxa"/>
              <w:start w:w="120" w:type="dxa"/>
              <w:bottom w:w="120" w:type="dxa"/>
              <w:end w:w="120" w:type="dxa"/>
            </w:tcMar>
            <w:shd w:fill="FFFFFF"/>
          </w:tcPr>
          <w:p>
            <w:pPr>
              <w:spacing w:after="0" w:line="252" w:lineRule="auto"/>
              <w:jc w:val="left"/>
            </w:pPr>
            <w:r>
              <w:rPr>
                <w:rFonts w:ascii="Aptos" w:hAnsi="Aptos"/>
                <w:b w:val="0"/>
                <w:color w:val="000000"/>
                <w:sz w:val="21"/>
              </w:rPr>
              <w:t>Whispers in the Dark and A New Ally</w:t>
            </w:r>
          </w:p>
        </w:tc>
        <w:tc>
          <w:tcPr>
            <w:tcW w:type="dxa" w:w="3528"/>
            <w:vAlign w:val="center"/>
            <w:tcMar>
              <w:top w:w="120" w:type="dxa"/>
              <w:start w:w="120" w:type="dxa"/>
              <w:bottom w:w="120" w:type="dxa"/>
              <w:end w:w="120" w:type="dxa"/>
            </w:tcMar>
            <w:shd w:fill="FFFFFF"/>
          </w:tcPr>
          <w:p>
            <w:pPr>
              <w:spacing w:after="0" w:line="252" w:lineRule="auto"/>
              <w:jc w:val="left"/>
            </w:pPr>
            <w:r>
              <w:rPr>
                <w:rFonts w:ascii="Aptos" w:hAnsi="Aptos"/>
                <w:b w:val="0"/>
                <w:color w:val="000000"/>
                <w:sz w:val="21"/>
              </w:rPr>
              <w:t>Sergeant Knox in Protector's Enclave</w:t>
            </w:r>
          </w:p>
        </w:tc>
      </w:tr>
      <w:tr>
        <w:trPr>
          <w:cantSplit/>
        </w:trPr>
        <w:tc>
          <w:tcPr>
            <w:tcW w:type="dxa" w:w="2232"/>
            <w:vAlign w:val="center"/>
            <w:tcMar>
              <w:top w:w="120" w:type="dxa"/>
              <w:start w:w="120" w:type="dxa"/>
              <w:bottom w:w="120" w:type="dxa"/>
              <w:end w:w="120" w:type="dxa"/>
            </w:tcMar>
            <w:shd w:fill="F7F4EC"/>
          </w:tcPr>
          <w:p>
            <w:pPr>
              <w:spacing w:after="0" w:line="252" w:lineRule="auto"/>
              <w:jc w:val="left"/>
            </w:pPr>
            <w:r>
              <w:rPr>
                <w:rFonts w:ascii="Aptos" w:hAnsi="Aptos"/>
                <w:b w:val="0"/>
                <w:color w:val="000000"/>
                <w:sz w:val="21"/>
              </w:rPr>
              <w:t>Northdark Reaches</w:t>
            </w:r>
          </w:p>
        </w:tc>
        <w:tc>
          <w:tcPr>
            <w:tcW w:type="dxa" w:w="4032"/>
            <w:vAlign w:val="center"/>
            <w:tcMar>
              <w:top w:w="120" w:type="dxa"/>
              <w:start w:w="120" w:type="dxa"/>
              <w:bottom w:w="120" w:type="dxa"/>
              <w:end w:w="120" w:type="dxa"/>
            </w:tcMar>
            <w:shd w:fill="F7F4EC"/>
          </w:tcPr>
          <w:p>
            <w:pPr>
              <w:spacing w:after="0" w:line="252" w:lineRule="auto"/>
              <w:jc w:val="left"/>
            </w:pPr>
            <w:r>
              <w:rPr>
                <w:rFonts w:ascii="Aptos" w:hAnsi="Aptos"/>
                <w:b w:val="0"/>
                <w:color w:val="000000"/>
                <w:sz w:val="21"/>
              </w:rPr>
              <w:t>The Call of the King</w:t>
            </w:r>
          </w:p>
        </w:tc>
        <w:tc>
          <w:tcPr>
            <w:tcW w:type="dxa" w:w="3528"/>
            <w:vAlign w:val="center"/>
            <w:tcMar>
              <w:top w:w="120" w:type="dxa"/>
              <w:start w:w="120" w:type="dxa"/>
              <w:bottom w:w="120" w:type="dxa"/>
              <w:end w:w="120" w:type="dxa"/>
            </w:tcMar>
            <w:shd w:fill="F7F4EC"/>
          </w:tcPr>
          <w:p>
            <w:pPr>
              <w:spacing w:after="0" w:line="252" w:lineRule="auto"/>
              <w:jc w:val="left"/>
            </w:pPr>
            <w:r>
              <w:rPr>
                <w:rFonts w:ascii="Aptos" w:hAnsi="Aptos"/>
                <w:b w:val="0"/>
                <w:color w:val="000000"/>
                <w:sz w:val="21"/>
              </w:rPr>
              <w:t>Sergeant Knox in Protector's Enclave</w:t>
            </w:r>
          </w:p>
        </w:tc>
      </w:tr>
      <w:tr>
        <w:trPr>
          <w:cantSplit/>
        </w:trPr>
        <w:tc>
          <w:tcPr>
            <w:tcW w:type="dxa" w:w="2232"/>
            <w:vAlign w:val="center"/>
            <w:tcMar>
              <w:top w:w="120" w:type="dxa"/>
              <w:start w:w="120" w:type="dxa"/>
              <w:bottom w:w="120" w:type="dxa"/>
              <w:end w:w="120" w:type="dxa"/>
            </w:tcMar>
            <w:shd w:fill="FFFFFF"/>
          </w:tcPr>
          <w:p>
            <w:pPr>
              <w:spacing w:after="0" w:line="252" w:lineRule="auto"/>
              <w:jc w:val="left"/>
            </w:pPr>
            <w:r>
              <w:rPr>
                <w:rFonts w:ascii="Aptos" w:hAnsi="Aptos"/>
                <w:b w:val="0"/>
                <w:color w:val="000000"/>
                <w:sz w:val="21"/>
              </w:rPr>
              <w:t>Narbondellyn</w:t>
            </w:r>
          </w:p>
        </w:tc>
        <w:tc>
          <w:tcPr>
            <w:tcW w:type="dxa" w:w="4032"/>
            <w:vAlign w:val="center"/>
            <w:tcMar>
              <w:top w:w="120" w:type="dxa"/>
              <w:start w:w="120" w:type="dxa"/>
              <w:bottom w:w="120" w:type="dxa"/>
              <w:end w:w="120" w:type="dxa"/>
            </w:tcMar>
            <w:shd w:fill="FFFFFF"/>
          </w:tcPr>
          <w:p>
            <w:pPr>
              <w:spacing w:after="0" w:line="252" w:lineRule="auto"/>
              <w:jc w:val="left"/>
            </w:pPr>
            <w:r>
              <w:rPr>
                <w:rFonts w:ascii="Aptos" w:hAnsi="Aptos"/>
                <w:b w:val="0"/>
                <w:color w:val="000000"/>
                <w:sz w:val="21"/>
              </w:rPr>
              <w:t>Whispers in the Dark and A Discreet Meeting</w:t>
            </w:r>
          </w:p>
        </w:tc>
        <w:tc>
          <w:tcPr>
            <w:tcW w:type="dxa" w:w="3528"/>
            <w:vAlign w:val="center"/>
            <w:tcMar>
              <w:top w:w="120" w:type="dxa"/>
              <w:start w:w="120" w:type="dxa"/>
              <w:bottom w:w="120" w:type="dxa"/>
              <w:end w:w="120" w:type="dxa"/>
            </w:tcMar>
            <w:shd w:fill="FFFFFF"/>
          </w:tcPr>
          <w:p>
            <w:pPr>
              <w:spacing w:after="0" w:line="252" w:lineRule="auto"/>
              <w:jc w:val="left"/>
            </w:pPr>
            <w:r>
              <w:rPr>
                <w:rFonts w:ascii="Aptos" w:hAnsi="Aptos"/>
                <w:b w:val="0"/>
                <w:color w:val="000000"/>
                <w:sz w:val="21"/>
              </w:rPr>
              <w:t>Sergeant Knox in Protector's Enclave</w:t>
            </w:r>
          </w:p>
        </w:tc>
      </w:tr>
      <w:tr>
        <w:trPr>
          <w:cantSplit/>
        </w:trPr>
        <w:tc>
          <w:tcPr>
            <w:tcW w:type="dxa" w:w="2232"/>
            <w:vAlign w:val="center"/>
            <w:tcMar>
              <w:top w:w="120" w:type="dxa"/>
              <w:start w:w="120" w:type="dxa"/>
              <w:bottom w:w="120" w:type="dxa"/>
              <w:end w:w="120" w:type="dxa"/>
            </w:tcMar>
            <w:shd w:fill="F7F4EC"/>
          </w:tcPr>
          <w:p>
            <w:pPr>
              <w:spacing w:after="0" w:line="252" w:lineRule="auto"/>
              <w:jc w:val="left"/>
            </w:pPr>
            <w:r>
              <w:rPr>
                <w:rFonts w:ascii="Aptos" w:hAnsi="Aptos"/>
                <w:b w:val="0"/>
                <w:color w:val="000000"/>
                <w:sz w:val="21"/>
              </w:rPr>
              <w:t>Dragonbone Vale</w:t>
            </w:r>
          </w:p>
        </w:tc>
        <w:tc>
          <w:tcPr>
            <w:tcW w:type="dxa" w:w="4032"/>
            <w:vAlign w:val="center"/>
            <w:tcMar>
              <w:top w:w="120" w:type="dxa"/>
              <w:start w:w="120" w:type="dxa"/>
              <w:bottom w:w="120" w:type="dxa"/>
              <w:end w:w="120" w:type="dxa"/>
            </w:tcMar>
            <w:shd w:fill="F7F4EC"/>
          </w:tcPr>
          <w:p>
            <w:pPr>
              <w:spacing w:after="0" w:line="252" w:lineRule="auto"/>
              <w:jc w:val="left"/>
            </w:pPr>
            <w:r>
              <w:rPr>
                <w:rFonts w:ascii="Aptos" w:hAnsi="Aptos"/>
                <w:b w:val="0"/>
                <w:color w:val="000000"/>
                <w:sz w:val="21"/>
              </w:rPr>
              <w:t>Forging the Shield</w:t>
            </w:r>
          </w:p>
        </w:tc>
        <w:tc>
          <w:tcPr>
            <w:tcW w:type="dxa" w:w="3528"/>
            <w:vAlign w:val="center"/>
            <w:tcMar>
              <w:top w:w="120" w:type="dxa"/>
              <w:start w:w="120" w:type="dxa"/>
              <w:bottom w:w="120" w:type="dxa"/>
              <w:end w:w="120" w:type="dxa"/>
            </w:tcMar>
            <w:shd w:fill="F7F4EC"/>
          </w:tcPr>
          <w:p>
            <w:pPr>
              <w:spacing w:after="0" w:line="252" w:lineRule="auto"/>
              <w:jc w:val="left"/>
            </w:pPr>
            <w:r>
              <w:rPr>
                <w:rFonts w:ascii="Aptos" w:hAnsi="Aptos"/>
                <w:b w:val="0"/>
                <w:color w:val="000000"/>
                <w:sz w:val="21"/>
              </w:rPr>
              <w:t>Sergeant Knox in Protector's Enclave</w:t>
            </w:r>
          </w:p>
        </w:tc>
      </w:tr>
    </w:tbl>
    <w:p>
      <w:pPr>
        <w:spacing w:after="160" w:line="278" w:lineRule="auto"/>
      </w:pPr>
      <w:r>
        <w:rPr>
          <w:rFonts w:ascii="Aptos" w:hAnsi="Aptos"/>
          <w:color w:val="000000"/>
          <w:sz w:val="23"/>
        </w:rPr>
        <w:t>All participating characters must be level 20.</w:t>
      </w:r>
    </w:p>
    <w:p>
      <w:pPr>
        <w:pStyle w:val="Heading1"/>
        <w:keepNext/>
        <w:spacing w:before="280" w:after="120"/>
      </w:pPr>
      <w:r>
        <w:rPr>
          <w:rFonts w:ascii="Aptos" w:hAnsi="Aptos"/>
          <w:b/>
          <w:color w:val="000000"/>
          <w:sz w:val="34"/>
        </w:rPr>
        <w:t>Campaign Progress</w:t>
      </w:r>
    </w:p>
    <w:p>
      <w:pPr>
        <w:spacing w:after="160" w:line="278" w:lineRule="auto"/>
      </w:pPr>
      <w:r>
        <w:rPr>
          <w:rFonts w:ascii="Aptos" w:hAnsi="Aptos"/>
          <w:color w:val="000000"/>
          <w:sz w:val="23"/>
        </w:rPr>
        <w:t>The campaign has four phases, and each phase lasts three weeks. Daily and weekly challenges award Shards of Madness. Objectives can include Heroic Encounters, enemy and Named Encounter defeats, corrupted altar purification, points, skirmishes, and a specified dungeon or trial.</w:t>
      </w:r>
    </w:p>
    <w:p>
      <w:pPr>
        <w:spacing w:after="160" w:line="278" w:lineRule="auto"/>
      </w:pPr>
      <w:r>
        <w:rPr>
          <w:rFonts w:ascii="Aptos" w:hAnsi="Aptos"/>
          <w:color w:val="000000"/>
          <w:sz w:val="23"/>
        </w:rPr>
        <w:t>Individual milestone rewards include Warden's Caches, Insignia Powder, Trade Bars, Legendary Dragon Keys, and mount and companion upgrade tokens. During the Can you hear him phase, players can also obtain the Legendary Staring Cat of Uldun-Dar companion.</w:t>
      </w:r>
    </w:p>
    <w:p>
      <w:pPr>
        <w:pStyle w:val="Heading1"/>
        <w:keepNext/>
        <w:spacing w:before="280" w:after="120"/>
      </w:pPr>
      <w:r>
        <w:rPr>
          <w:rFonts w:ascii="Aptos" w:hAnsi="Aptos"/>
          <w:b/>
          <w:color w:val="000000"/>
          <w:sz w:val="34"/>
        </w:rPr>
        <w:t>Corrupted Altars</w:t>
      </w:r>
    </w:p>
    <w:p>
      <w:pPr>
        <w:spacing w:after="160" w:line="278" w:lineRule="auto"/>
      </w:pPr>
      <w:r>
        <w:rPr>
          <w:rFonts w:ascii="Aptos" w:hAnsi="Aptos"/>
          <w:color w:val="000000"/>
          <w:sz w:val="23"/>
        </w:rPr>
        <w:t>Each active zone contains two corrupted altars. Most enemies in that zone can drop Lesser Abyssal Lures. Use three Lesser Lures at the first altar and defeat the summoned nightmare. Those creatures can sometimes drop Greater Abyssal Lures; use three Greater Lures at the second altar and defeat its stronger summon.</w:t>
      </w:r>
    </w:p>
    <w:p>
      <w:pPr>
        <w:spacing w:after="160" w:line="278" w:lineRule="auto"/>
      </w:pPr>
      <w:r>
        <w:rPr>
          <w:rFonts w:ascii="Aptos" w:hAnsi="Aptos"/>
          <w:color w:val="000000"/>
          <w:sz w:val="23"/>
        </w:rPr>
        <w:t>Altar purification is the strongest source of Shards of Madness for the server-wide Nightmare Progression. Forming a group helps activate and clear altars more efficiently.</w:t>
      </w:r>
    </w:p>
    <w:p>
      <w:pPr>
        <w:pStyle w:val="Heading1"/>
        <w:keepNext/>
        <w:spacing w:before="280" w:after="120"/>
      </w:pPr>
      <w:r>
        <w:rPr>
          <w:rFonts w:ascii="Aptos" w:hAnsi="Aptos"/>
          <w:b/>
          <w:color w:val="000000"/>
          <w:sz w:val="34"/>
        </w:rPr>
        <w:t>Heroic Encounters and World Boss</w:t>
      </w:r>
    </w:p>
    <w:p>
      <w:pPr>
        <w:spacing w:after="160" w:line="278" w:lineRule="auto"/>
      </w:pPr>
      <w:r>
        <w:rPr>
          <w:rFonts w:ascii="Aptos" w:hAnsi="Aptos"/>
          <w:color w:val="000000"/>
          <w:sz w:val="23"/>
        </w:rPr>
        <w:t>Corrupted Heroic Encounters add hazards such as meteor showers, fire, movement checks, and disease-cleansing mechanics. A September 3 adjustment reduced these encounters to one active modifier at a time.</w:t>
      </w:r>
    </w:p>
    <w:p>
      <w:pPr>
        <w:spacing w:after="160" w:line="278" w:lineRule="auto"/>
      </w:pPr>
      <w:r>
        <w:rPr>
          <w:rFonts w:ascii="Aptos" w:hAnsi="Aptos"/>
          <w:color w:val="000000"/>
          <w:sz w:val="23"/>
        </w:rPr>
        <w:t>Maxare'xek the Mad appears in the active zone every few hours. Defeating this roaming world boss grants a one-hour buff that increases your damage within that zone. The same live adjustment reduced event Named Encounter respawns from ten minutes to three and lowered the related weekly requirement from 50 defeats to 30.</w:t>
      </w:r>
    </w:p>
    <w:p>
      <w:pPr>
        <w:pStyle w:val="Heading1"/>
        <w:keepNext/>
        <w:spacing w:before="280" w:after="120"/>
      </w:pPr>
      <w:r>
        <w:rPr>
          <w:rFonts w:ascii="Aptos" w:hAnsi="Aptos"/>
          <w:b/>
          <w:color w:val="000000"/>
          <w:sz w:val="34"/>
        </w:rPr>
        <w:t>Rewards</w:t>
      </w:r>
    </w:p>
    <w:tbl>
      <w:tblPr>
        <w:tblW w:type="auto" w:w="0"/>
        <w:jc w:val="center"/>
        <w:tblLayout w:type="fixed"/>
        <w:tblLook w:firstColumn="1" w:firstRow="1" w:lastColumn="0" w:lastRow="0" w:noHBand="0" w:noVBand="1" w:val="04A0"/>
        <w:tblBorders>
          <w:top w:val="single" w:sz="8" w:space="0" w:color="D9D9D9"/>
          <w:left w:val="single" w:sz="8" w:space="0" w:color="D9D9D9"/>
          <w:bottom w:val="single" w:sz="8" w:space="0" w:color="D9D9D9"/>
          <w:right w:val="single" w:sz="8" w:space="0" w:color="D9D9D9"/>
          <w:insideH w:val="single" w:sz="8" w:space="0" w:color="D9D9D9"/>
          <w:insideV w:val="single" w:sz="8" w:space="0" w:color="D9D9D9"/>
        </w:tblBorders>
      </w:tblPr>
      <w:tblGrid>
        <w:gridCol w:w="3331"/>
        <w:gridCol w:w="3331"/>
        <w:gridCol w:w="3331"/>
      </w:tblGrid>
      <w:tr>
        <w:trPr>
          <w:cantSplit/>
          <w:tblHeader w:val="true"/>
        </w:trPr>
        <w:tc>
          <w:tcPr>
            <w:tcW w:type="dxa" w:w="2232"/>
            <w:vAlign w:val="center"/>
            <w:tcMar>
              <w:top w:w="120" w:type="dxa"/>
              <w:start w:w="120" w:type="dxa"/>
              <w:bottom w:w="120" w:type="dxa"/>
              <w:end w:w="120" w:type="dxa"/>
            </w:tcMar>
            <w:shd w:fill="2F2235"/>
          </w:tcPr>
          <w:p>
            <w:pPr>
              <w:spacing w:after="0" w:line="252" w:lineRule="auto"/>
              <w:jc w:val="center"/>
            </w:pPr>
            <w:r>
              <w:rPr>
                <w:rFonts w:ascii="Aptos" w:hAnsi="Aptos"/>
                <w:b/>
                <w:color w:val="FFFFFF"/>
                <w:sz w:val="21"/>
              </w:rPr>
              <w:t>Reward track</w:t>
            </w:r>
          </w:p>
        </w:tc>
        <w:tc>
          <w:tcPr>
            <w:tcW w:type="dxa" w:w="3168"/>
            <w:vAlign w:val="center"/>
            <w:tcMar>
              <w:top w:w="120" w:type="dxa"/>
              <w:start w:w="120" w:type="dxa"/>
              <w:bottom w:w="120" w:type="dxa"/>
              <w:end w:w="120" w:type="dxa"/>
            </w:tcMar>
            <w:shd w:fill="2F2235"/>
          </w:tcPr>
          <w:p>
            <w:pPr>
              <w:spacing w:after="0" w:line="252" w:lineRule="auto"/>
              <w:jc w:val="center"/>
            </w:pPr>
            <w:r>
              <w:rPr>
                <w:rFonts w:ascii="Aptos" w:hAnsi="Aptos"/>
                <w:b/>
                <w:color w:val="FFFFFF"/>
                <w:sz w:val="21"/>
              </w:rPr>
              <w:t>Eligibility</w:t>
            </w:r>
          </w:p>
        </w:tc>
        <w:tc>
          <w:tcPr>
            <w:tcW w:type="dxa" w:w="4392"/>
            <w:vAlign w:val="center"/>
            <w:tcMar>
              <w:top w:w="120" w:type="dxa"/>
              <w:start w:w="120" w:type="dxa"/>
              <w:bottom w:w="120" w:type="dxa"/>
              <w:end w:w="120" w:type="dxa"/>
            </w:tcMar>
            <w:shd w:fill="2F2235"/>
          </w:tcPr>
          <w:p>
            <w:pPr>
              <w:spacing w:after="0" w:line="252" w:lineRule="auto"/>
              <w:jc w:val="center"/>
            </w:pPr>
            <w:r>
              <w:rPr>
                <w:rFonts w:ascii="Aptos" w:hAnsi="Aptos"/>
                <w:b/>
                <w:color w:val="FFFFFF"/>
                <w:sz w:val="21"/>
              </w:rPr>
              <w:t>Notable rewards</w:t>
            </w:r>
          </w:p>
        </w:tc>
      </w:tr>
      <w:tr>
        <w:trPr>
          <w:cantSplit/>
        </w:trPr>
        <w:tc>
          <w:tcPr>
            <w:tcW w:type="dxa" w:w="2232"/>
            <w:vAlign w:val="center"/>
            <w:tcMar>
              <w:top w:w="120" w:type="dxa"/>
              <w:start w:w="120" w:type="dxa"/>
              <w:bottom w:w="120" w:type="dxa"/>
              <w:end w:w="120" w:type="dxa"/>
            </w:tcMar>
            <w:shd w:fill="FFFFFF"/>
          </w:tcPr>
          <w:p>
            <w:pPr>
              <w:spacing w:after="0" w:line="252" w:lineRule="auto"/>
              <w:jc w:val="left"/>
            </w:pPr>
            <w:r>
              <w:rPr>
                <w:rFonts w:ascii="Aptos" w:hAnsi="Aptos"/>
                <w:b w:val="0"/>
                <w:color w:val="000000"/>
                <w:sz w:val="21"/>
              </w:rPr>
              <w:t>Campaign milestones</w:t>
            </w:r>
          </w:p>
        </w:tc>
        <w:tc>
          <w:tcPr>
            <w:tcW w:type="dxa" w:w="3168"/>
            <w:vAlign w:val="center"/>
            <w:tcMar>
              <w:top w:w="120" w:type="dxa"/>
              <w:start w:w="120" w:type="dxa"/>
              <w:bottom w:w="120" w:type="dxa"/>
              <w:end w:w="120" w:type="dxa"/>
            </w:tcMar>
            <w:shd w:fill="FFFFFF"/>
          </w:tcPr>
          <w:p>
            <w:pPr>
              <w:spacing w:after="0" w:line="252" w:lineRule="auto"/>
              <w:jc w:val="left"/>
            </w:pPr>
            <w:r>
              <w:rPr>
                <w:rFonts w:ascii="Aptos" w:hAnsi="Aptos"/>
                <w:b w:val="0"/>
                <w:color w:val="000000"/>
                <w:sz w:val="21"/>
              </w:rPr>
              <w:t>Progress with Shards of Madness</w:t>
            </w:r>
          </w:p>
        </w:tc>
        <w:tc>
          <w:tcPr>
            <w:tcW w:type="dxa" w:w="4392"/>
            <w:vAlign w:val="center"/>
            <w:tcMar>
              <w:top w:w="120" w:type="dxa"/>
              <w:start w:w="120" w:type="dxa"/>
              <w:bottom w:w="120" w:type="dxa"/>
              <w:end w:w="120" w:type="dxa"/>
            </w:tcMar>
            <w:shd w:fill="FFFFFF"/>
          </w:tcPr>
          <w:p>
            <w:pPr>
              <w:spacing w:after="0" w:line="252" w:lineRule="auto"/>
              <w:jc w:val="left"/>
            </w:pPr>
            <w:r>
              <w:rPr>
                <w:rFonts w:ascii="Aptos" w:hAnsi="Aptos"/>
                <w:b w:val="0"/>
                <w:color w:val="000000"/>
                <w:sz w:val="21"/>
              </w:rPr>
              <w:t>Warden's Caches, Insignia Powder, Trade Bars, Legendary Dragon Keys, and upgrade tokens</w:t>
            </w:r>
          </w:p>
        </w:tc>
      </w:tr>
      <w:tr>
        <w:trPr>
          <w:cantSplit/>
        </w:trPr>
        <w:tc>
          <w:tcPr>
            <w:tcW w:type="dxa" w:w="2232"/>
            <w:vAlign w:val="center"/>
            <w:tcMar>
              <w:top w:w="120" w:type="dxa"/>
              <w:start w:w="120" w:type="dxa"/>
              <w:bottom w:w="120" w:type="dxa"/>
              <w:end w:w="120" w:type="dxa"/>
            </w:tcMar>
            <w:shd w:fill="F7F4EC"/>
          </w:tcPr>
          <w:p>
            <w:pPr>
              <w:spacing w:after="0" w:line="252" w:lineRule="auto"/>
              <w:jc w:val="left"/>
            </w:pPr>
            <w:r>
              <w:rPr>
                <w:rFonts w:ascii="Aptos" w:hAnsi="Aptos"/>
                <w:b w:val="0"/>
                <w:color w:val="000000"/>
                <w:sz w:val="21"/>
              </w:rPr>
              <w:t>Campaign special</w:t>
            </w:r>
          </w:p>
        </w:tc>
        <w:tc>
          <w:tcPr>
            <w:tcW w:type="dxa" w:w="3168"/>
            <w:vAlign w:val="center"/>
            <w:tcMar>
              <w:top w:w="120" w:type="dxa"/>
              <w:start w:w="120" w:type="dxa"/>
              <w:bottom w:w="120" w:type="dxa"/>
              <w:end w:w="120" w:type="dxa"/>
            </w:tcMar>
            <w:shd w:fill="F7F4EC"/>
          </w:tcPr>
          <w:p>
            <w:pPr>
              <w:spacing w:after="0" w:line="252" w:lineRule="auto"/>
              <w:jc w:val="left"/>
            </w:pPr>
            <w:r>
              <w:rPr>
                <w:rFonts w:ascii="Aptos" w:hAnsi="Aptos"/>
                <w:b w:val="0"/>
                <w:color w:val="000000"/>
                <w:sz w:val="21"/>
              </w:rPr>
              <w:t>Reach the Can you hear him phase</w:t>
            </w:r>
          </w:p>
        </w:tc>
        <w:tc>
          <w:tcPr>
            <w:tcW w:type="dxa" w:w="4392"/>
            <w:vAlign w:val="center"/>
            <w:tcMar>
              <w:top w:w="120" w:type="dxa"/>
              <w:start w:w="120" w:type="dxa"/>
              <w:bottom w:w="120" w:type="dxa"/>
              <w:end w:w="120" w:type="dxa"/>
            </w:tcMar>
            <w:shd w:fill="F7F4EC"/>
          </w:tcPr>
          <w:p>
            <w:pPr>
              <w:spacing w:after="0" w:line="252" w:lineRule="auto"/>
              <w:jc w:val="left"/>
            </w:pPr>
            <w:r>
              <w:rPr>
                <w:rFonts w:ascii="Aptos" w:hAnsi="Aptos"/>
                <w:b w:val="0"/>
                <w:color w:val="000000"/>
                <w:sz w:val="21"/>
              </w:rPr>
              <w:t>Staring Cat of Uldun-Dar companion at Legendary quality</w:t>
            </w:r>
          </w:p>
        </w:tc>
      </w:tr>
      <w:tr>
        <w:trPr>
          <w:cantSplit/>
        </w:trPr>
        <w:tc>
          <w:tcPr>
            <w:tcW w:type="dxa" w:w="2232"/>
            <w:vAlign w:val="center"/>
            <w:tcMar>
              <w:top w:w="120" w:type="dxa"/>
              <w:start w:w="120" w:type="dxa"/>
              <w:bottom w:w="120" w:type="dxa"/>
              <w:end w:w="120" w:type="dxa"/>
            </w:tcMar>
            <w:shd w:fill="FFFFFF"/>
          </w:tcPr>
          <w:p>
            <w:pPr>
              <w:spacing w:after="0" w:line="252" w:lineRule="auto"/>
              <w:jc w:val="left"/>
            </w:pPr>
            <w:r>
              <w:rPr>
                <w:rFonts w:ascii="Aptos" w:hAnsi="Aptos"/>
                <w:b w:val="0"/>
                <w:color w:val="000000"/>
                <w:sz w:val="21"/>
              </w:rPr>
              <w:t>Nightmare Progression</w:t>
            </w:r>
          </w:p>
        </w:tc>
        <w:tc>
          <w:tcPr>
            <w:tcW w:type="dxa" w:w="3168"/>
            <w:vAlign w:val="center"/>
            <w:tcMar>
              <w:top w:w="120" w:type="dxa"/>
              <w:start w:w="120" w:type="dxa"/>
              <w:bottom w:w="120" w:type="dxa"/>
              <w:end w:w="120" w:type="dxa"/>
            </w:tcMar>
            <w:shd w:fill="FFFFFF"/>
          </w:tcPr>
          <w:p>
            <w:pPr>
              <w:spacing w:after="0" w:line="252" w:lineRule="auto"/>
              <w:jc w:val="left"/>
            </w:pPr>
            <w:r>
              <w:rPr>
                <w:rFonts w:ascii="Aptos" w:hAnsi="Aptos"/>
                <w:b w:val="0"/>
                <w:color w:val="000000"/>
                <w:sz w:val="21"/>
              </w:rPr>
              <w:t>Earn at least 500 Shards and the server must fill the phase bar</w:t>
            </w:r>
          </w:p>
        </w:tc>
        <w:tc>
          <w:tcPr>
            <w:tcW w:type="dxa" w:w="4392"/>
            <w:vAlign w:val="center"/>
            <w:tcMar>
              <w:top w:w="120" w:type="dxa"/>
              <w:start w:w="120" w:type="dxa"/>
              <w:bottom w:w="120" w:type="dxa"/>
              <w:end w:w="120" w:type="dxa"/>
            </w:tcMar>
            <w:shd w:fill="FFFFFF"/>
          </w:tcPr>
          <w:p>
            <w:pPr>
              <w:spacing w:after="0" w:line="252" w:lineRule="auto"/>
              <w:jc w:val="left"/>
            </w:pPr>
            <w:r>
              <w:rPr>
                <w:rFonts w:ascii="Aptos" w:hAnsi="Aptos"/>
                <w:b w:val="0"/>
                <w:color w:val="000000"/>
                <w:sz w:val="21"/>
              </w:rPr>
              <w:t>Burning Hope artifact, Umbral Widow mount, Brimming Bountiful Bag with 90 slots, and Peeper Keeper</w:t>
            </w:r>
          </w:p>
        </w:tc>
      </w:tr>
    </w:tbl>
    <w:p>
      <w:pPr>
        <w:spacing w:after="160" w:line="278" w:lineRule="auto"/>
      </w:pPr>
      <w:r>
        <w:rPr>
          <w:rFonts w:ascii="Aptos" w:hAnsi="Aptos"/>
          <w:color w:val="000000"/>
          <w:sz w:val="23"/>
        </w:rPr>
        <w:t>Campaign rewards can be claimed by up to five characters per account; after that, most milestone rewards change to Warden's Caches. Global rewards can be earned on additional characters if each character reaches the 500-Shard eligibility milestone. Completed phase rewards are mailed automatically after the phase ends.</w:t>
      </w:r>
    </w:p>
    <w:p>
      <w:pPr>
        <w:pStyle w:val="Heading1"/>
        <w:keepNext/>
        <w:spacing w:before="280" w:after="120"/>
      </w:pPr>
      <w:r>
        <w:rPr>
          <w:rFonts w:ascii="Aptos" w:hAnsi="Aptos"/>
          <w:b/>
          <w:color w:val="000000"/>
          <w:sz w:val="34"/>
        </w:rPr>
        <w:t>Other Module 33 5 Changes</w:t>
      </w:r>
    </w:p>
    <w:p>
      <w:pPr>
        <w:pStyle w:val="ListBullet"/>
        <w:spacing w:after="80" w:line="264" w:lineRule="auto"/>
      </w:pPr>
      <w:r>
        <w:rPr>
          <w:rFonts w:ascii="Aptos" w:hAnsi="Aptos"/>
          <w:color w:val="000000"/>
          <w:sz w:val="23"/>
        </w:rPr>
        <w:t>Combat Enchantments now use two slots: Strike and Guard. Their individual Item Level was halved so equipping both keeps the same total Item Level as before.</w:t>
      </w:r>
    </w:p>
    <w:p>
      <w:pPr>
        <w:pStyle w:val="ListBullet"/>
        <w:spacing w:after="80" w:line="264" w:lineRule="auto"/>
      </w:pPr>
      <w:r>
        <w:rPr>
          <w:rFonts w:ascii="Aptos" w:hAnsi="Aptos"/>
          <w:color w:val="000000"/>
          <w:sz w:val="23"/>
        </w:rPr>
        <w:t>Selected item stacks increased from 99 to 999, including most Preservation Wards and Coalescent Motes, Genie's Gifts, Black Pearls, and several other commonly stored items.</w:t>
      </w:r>
    </w:p>
    <w:p>
      <w:pPr>
        <w:pStyle w:val="ListBullet"/>
        <w:spacing w:after="80" w:line="264" w:lineRule="auto"/>
      </w:pPr>
      <w:r>
        <w:rPr>
          <w:rFonts w:ascii="Aptos" w:hAnsi="Aptos"/>
          <w:color w:val="000000"/>
          <w:sz w:val="23"/>
        </w:rPr>
        <w:t>The Vault of Piety offers one Coffer of Celestial Insignias per account each week for 11 Celestial Coins. It contains 50 Insignia Powder and either a Rare or Epic Insignia.</w:t>
      </w:r>
    </w:p>
    <w:p>
      <w:pPr>
        <w:pStyle w:val="ListBullet"/>
        <w:spacing w:after="80" w:line="264" w:lineRule="auto"/>
      </w:pPr>
      <w:r>
        <w:rPr>
          <w:rFonts w:ascii="Aptos" w:hAnsi="Aptos"/>
          <w:color w:val="000000"/>
          <w:sz w:val="23"/>
        </w:rPr>
        <w:t>The Of Minds and Madness Battle Pass includes free and premium tracks. Its rewards include the Laughing Void artifact, Voidbound Necklace, Voidbound Belt, and Pika the Tressym.</w:t>
      </w:r>
    </w:p>
    <w:p>
      <w:pPr>
        <w:pStyle w:val="ListBullet"/>
        <w:spacing w:after="80" w:line="264" w:lineRule="auto"/>
      </w:pPr>
      <w:r>
        <w:rPr>
          <w:rFonts w:ascii="Aptos" w:hAnsi="Aptos"/>
          <w:color w:val="000000"/>
          <w:sz w:val="23"/>
        </w:rPr>
        <w:t>The Wild Adventures Lockbox is available through November 17 and features the Mythic Star Angler mount and Mythic Encore the Virtuoso companion.</w:t>
      </w:r>
    </w:p>
    <w:p>
      <w:pPr>
        <w:pStyle w:val="Heading1"/>
        <w:keepNext/>
        <w:spacing w:before="280" w:after="120"/>
      </w:pPr>
      <w:r>
        <w:rPr>
          <w:rFonts w:ascii="Aptos" w:hAnsi="Aptos"/>
          <w:b/>
          <w:color w:val="000000"/>
          <w:sz w:val="34"/>
        </w:rPr>
        <w:t>Frequently Asked Questions</w:t>
      </w:r>
    </w:p>
    <w:p>
      <w:pPr>
        <w:spacing w:before="60" w:after="140" w:line="269" w:lineRule="auto"/>
      </w:pPr>
      <w:r>
        <w:rPr>
          <w:rFonts w:ascii="Aptos" w:hAnsi="Aptos"/>
          <w:b/>
          <w:color w:val="000000"/>
          <w:sz w:val="23"/>
        </w:rPr>
        <w:t xml:space="preserve">Where do I start  </w:t>
      </w:r>
      <w:r>
        <w:rPr>
          <w:rFonts w:ascii="Aptos" w:hAnsi="Aptos"/>
          <w:color w:val="000000"/>
          <w:sz w:val="23"/>
        </w:rPr>
        <w:t>Speak with Master Arcanist Viorel Amakiir in Protector's Enclave. The active destination appears with a modified map icon.</w:t>
      </w:r>
    </w:p>
    <w:p>
      <w:pPr>
        <w:spacing w:before="60" w:after="140" w:line="269" w:lineRule="auto"/>
      </w:pPr>
      <w:r>
        <w:rPr>
          <w:rFonts w:ascii="Aptos" w:hAnsi="Aptos"/>
          <w:b/>
          <w:color w:val="000000"/>
          <w:sz w:val="23"/>
        </w:rPr>
        <w:t xml:space="preserve">Why can I not enter the active zone  </w:t>
      </w:r>
      <w:r>
        <w:rPr>
          <w:rFonts w:ascii="Aptos" w:hAnsi="Aptos"/>
          <w:color w:val="000000"/>
          <w:sz w:val="23"/>
        </w:rPr>
        <w:t>The character must be level 20 and must complete that zone's listed access quests through Sergeant Knox.</w:t>
      </w:r>
    </w:p>
    <w:p>
      <w:pPr>
        <w:spacing w:before="60" w:after="140" w:line="269" w:lineRule="auto"/>
      </w:pPr>
      <w:r>
        <w:rPr>
          <w:rFonts w:ascii="Aptos" w:hAnsi="Aptos"/>
          <w:b/>
          <w:color w:val="000000"/>
          <w:sz w:val="23"/>
        </w:rPr>
        <w:t xml:space="preserve">Can I progress the older campaign at the same time  </w:t>
      </w:r>
      <w:r>
        <w:rPr>
          <w:rFonts w:ascii="Aptos" w:hAnsi="Aptos"/>
          <w:color w:val="000000"/>
          <w:sz w:val="23"/>
        </w:rPr>
        <w:t>Yes. If the active zone's original campaign is unfinished, objectives can advance both the older campaign and Monoliths of Madness.</w:t>
      </w:r>
    </w:p>
    <w:p>
      <w:pPr>
        <w:spacing w:before="60" w:after="140" w:line="269" w:lineRule="auto"/>
      </w:pPr>
      <w:r>
        <w:rPr>
          <w:rFonts w:ascii="Aptos" w:hAnsi="Aptos"/>
          <w:b/>
          <w:color w:val="000000"/>
          <w:sz w:val="23"/>
        </w:rPr>
        <w:t xml:space="preserve">How do I qualify for global rewards  </w:t>
      </w:r>
      <w:r>
        <w:rPr>
          <w:rFonts w:ascii="Aptos" w:hAnsi="Aptos"/>
          <w:color w:val="000000"/>
          <w:sz w:val="23"/>
        </w:rPr>
        <w:t>Earn at least 500 Shards of Madness. The server must also complete the Nightmare Progression bar before the phase ends.</w:t>
      </w:r>
    </w:p>
    <w:p>
      <w:pPr>
        <w:spacing w:before="60" w:after="140" w:line="269" w:lineRule="auto"/>
      </w:pPr>
      <w:r>
        <w:rPr>
          <w:rFonts w:ascii="Aptos" w:hAnsi="Aptos"/>
          <w:b/>
          <w:color w:val="000000"/>
          <w:sz w:val="23"/>
        </w:rPr>
        <w:t xml:space="preserve">What happens if the server does not fill the bar  </w:t>
      </w:r>
      <w:r>
        <w:rPr>
          <w:rFonts w:ascii="Aptos" w:hAnsi="Aptos"/>
          <w:color w:val="000000"/>
          <w:sz w:val="23"/>
        </w:rPr>
        <w:t>The global Nightmare Progression reward for that phase is not granted.</w:t>
      </w:r>
    </w:p>
    <w:p>
      <w:pPr>
        <w:spacing w:before="60" w:after="140" w:line="269" w:lineRule="auto"/>
      </w:pPr>
      <w:r>
        <w:rPr>
          <w:rFonts w:ascii="Aptos" w:hAnsi="Aptos"/>
          <w:b/>
          <w:color w:val="000000"/>
          <w:sz w:val="23"/>
        </w:rPr>
        <w:t xml:space="preserve">How many characters can claim rewards  </w:t>
      </w:r>
      <w:r>
        <w:rPr>
          <w:rFonts w:ascii="Aptos" w:hAnsi="Aptos"/>
          <w:color w:val="000000"/>
          <w:sz w:val="23"/>
        </w:rPr>
        <w:t>Up to five characters can select the regular campaign milestone rewards before most rewards change to Warden's Caches. Global rewards can be earned by additional eligible characters.</w:t>
      </w:r>
    </w:p>
    <w:p>
      <w:pPr>
        <w:spacing w:before="60" w:after="140" w:line="269" w:lineRule="auto"/>
      </w:pPr>
      <w:r>
        <w:rPr>
          <w:rFonts w:ascii="Aptos" w:hAnsi="Aptos"/>
          <w:b/>
          <w:color w:val="000000"/>
          <w:sz w:val="23"/>
        </w:rPr>
        <w:t xml:space="preserve">What does Maxare'xek the Mad reward  </w:t>
      </w:r>
      <w:r>
        <w:rPr>
          <w:rFonts w:ascii="Aptos" w:hAnsi="Aptos"/>
          <w:color w:val="000000"/>
          <w:sz w:val="23"/>
        </w:rPr>
        <w:t>Defeating the roaming world boss grants a temporary one-hour damage bonus within the active zone.</w:t>
      </w:r>
    </w:p>
    <w:p>
      <w:pPr>
        <w:pStyle w:val="Heading1"/>
        <w:keepNext/>
        <w:spacing w:before="280" w:after="120"/>
      </w:pPr>
      <w:r>
        <w:rPr>
          <w:rFonts w:ascii="Aptos" w:hAnsi="Aptos"/>
          <w:b/>
          <w:color w:val="000000"/>
          <w:sz w:val="34"/>
        </w:rPr>
        <w:t>Recommended Routine</w:t>
      </w:r>
    </w:p>
    <w:p>
      <w:pPr>
        <w:spacing w:after="160" w:line="278" w:lineRule="auto"/>
      </w:pPr>
      <w:r>
        <w:rPr>
          <w:rFonts w:ascii="Aptos" w:hAnsi="Aptos"/>
          <w:b/>
          <w:color w:val="000000"/>
          <w:sz w:val="23"/>
        </w:rPr>
        <w:t xml:space="preserve">Pro tip  </w:t>
      </w:r>
      <w:r>
        <w:rPr>
          <w:rFonts w:ascii="Aptos" w:hAnsi="Aptos"/>
          <w:color w:val="000000"/>
          <w:sz w:val="23"/>
        </w:rPr>
        <w:t>Prioritize the daily and weekly challenges first, then join altar groups and defeat Maxare'xek whenever the boss appears. Reach the 500-Shard threshold early in each phase so your eligibility is secured, but continue contributing because the server-wide bar must also finish for anyone to receive its global reward.</w:t>
      </w:r>
    </w:p>
    <w:p>
      <w:pPr>
        <w:pStyle w:val="Heading1"/>
        <w:keepNext/>
        <w:spacing w:before="280" w:after="120"/>
      </w:pPr>
      <w:r>
        <w:rPr>
          <w:rFonts w:ascii="Aptos" w:hAnsi="Aptos"/>
          <w:b/>
          <w:color w:val="000000"/>
          <w:sz w:val="34"/>
        </w:rPr>
        <w:t>Official Sources</w:t>
      </w:r>
    </w:p>
    <w:p>
      <w:pPr>
        <w:pStyle w:val="ListBullet"/>
        <w:spacing w:after="80"/>
      </w:pPr>
      <w:hyperlink r:id="rId9">
        <w:r>
          <w:rPr>
            <w:color w:val="1187AD"/>
            <w:u w:val="single"/>
            <w:rFonts w:ascii="Aptos" w:hAnsi="Aptos"/>
            <w:sz w:val="23"/>
          </w:rPr>
          <w:t>Release guide for Module 33.5</w:t>
        </w:r>
      </w:hyperlink>
    </w:p>
    <w:p>
      <w:pPr>
        <w:pStyle w:val="ListBullet"/>
        <w:spacing w:after="80"/>
      </w:pPr>
      <w:hyperlink r:id="rId10">
        <w:r>
          <w:rPr>
            <w:color w:val="1187AD"/>
            <w:u w:val="single"/>
            <w:rFonts w:ascii="Aptos" w:hAnsi="Aptos"/>
            <w:sz w:val="23"/>
          </w:rPr>
          <w:t>Patch notes for September 3 2026</w:t>
        </w:r>
      </w:hyperlink>
    </w:p>
    <w:p>
      <w:pPr>
        <w:pStyle w:val="ListBullet"/>
        <w:spacing w:after="80"/>
      </w:pPr>
      <w:hyperlink r:id="rId11">
        <w:r>
          <w:rPr>
            <w:color w:val="1187AD"/>
            <w:u w:val="single"/>
            <w:rFonts w:ascii="Aptos" w:hAnsi="Aptos"/>
            <w:sz w:val="23"/>
          </w:rPr>
          <w:t>Arc Games launch announcement</w:t>
        </w:r>
      </w:hyperlink>
    </w:p>
    <w:p>
      <w:pPr>
        <w:pStyle w:val="ListBullet"/>
        <w:spacing w:after="80"/>
      </w:pPr>
      <w:hyperlink r:id="rId12">
        <w:r>
          <w:rPr>
            <w:color w:val="1187AD"/>
            <w:u w:val="single"/>
            <w:rFonts w:ascii="Aptos" w:hAnsi="Aptos"/>
            <w:sz w:val="23"/>
          </w:rPr>
          <w:t>Official creator guide playlist</w:t>
        </w:r>
      </w:hyperlink>
    </w:p>
    <w:sectPr w:rsidR="00FC693F" w:rsidRPr="0006063C" w:rsidSect="00034616">
      <w:pgSz w:w="12240" w:h="15840"/>
      <w:pgMar w:top="1008" w:right="1123" w:bottom="1008" w:left="112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color w:val="000000"/>
      <w:sz w:val="23"/>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000000"/>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300" w:line="240" w:lineRule="auto"/>
      <w:contextualSpacing/>
    </w:pPr>
    <w:rPr>
      <w:rFonts w:asciiTheme="majorHAnsi" w:eastAsiaTheme="majorEastAsia" w:hAnsiTheme="majorHAnsi" w:cstheme="majorBidi" w:ascii="Aptos Display" w:hAnsi="Aptos Display"/>
      <w:color w:val="000000"/>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ptos" w:hAnsi="Aptos"/>
      <w:i/>
      <w:iCs/>
      <w:color w:val="000000"/>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playneverwinter.com/en/news-details/11582729" TargetMode="External"/><Relationship Id="rId10" Type="http://schemas.openxmlformats.org/officeDocument/2006/relationships/hyperlink" Target="https://www.playneverwinter.com/en/news-details/11582840" TargetMode="External"/><Relationship Id="rId11" Type="http://schemas.openxmlformats.org/officeDocument/2006/relationships/hyperlink" Target="https://www.arcgames.com/news/11582804" TargetMode="External"/><Relationship Id="rId12" Type="http://schemas.openxmlformats.org/officeDocument/2006/relationships/hyperlink" Target="https://www.youtube.com/playlist?list=PLF_ShvqU_W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Module 33 5 Monoliths of Madness Guide</dc:title>
  <dc:subject>Neverwinter Module 33.5 event guide</dc:subject>
  <dc:creator>Per Unitatem Vis Alliance</dc:creator>
  <cp:keywords/>
  <dc:description>generated by python-docx</dc:description>
  <cp:lastModifiedBy/>
  <cp:revision>1</cp:revision>
  <dcterms:created xsi:type="dcterms:W3CDTF">2013-12-23T23:15:00Z</dcterms:created>
  <dcterms:modified xsi:type="dcterms:W3CDTF">2013-12-23T23:15:00Z</dcterms:modified>
  <cp:category/>
</cp:coreProperties>
</file>